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8F2CA6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667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489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AF24F2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969/2020,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1214/2023 e </w:t>
      </w:r>
      <w:r w:rsidR="000B0F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667C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7E93ADC" w14:textId="285EFC63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Revogar a Portaria GP nº </w:t>
      </w:r>
      <w:r w:rsidR="004667C3">
        <w:rPr>
          <w:rFonts w:ascii="Times New Roman" w:hAnsi="Times New Roman" w:cs="Times New Roman"/>
          <w:b/>
          <w:sz w:val="24"/>
          <w:szCs w:val="24"/>
          <w:lang w:val="pt-BR" w:eastAsia="en-US"/>
        </w:rPr>
        <w:t>005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4667C3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Designar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a </w:t>
      </w:r>
      <w:proofErr w:type="spellStart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proofErr w:type="spellStart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Lucimeia</w:t>
      </w:r>
      <w:proofErr w:type="spellEnd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Melo Tavares matrícula nº. 1449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Tesoureiro, simbologia FC </w:t>
      </w:r>
      <w:r w:rsidR="004667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5983EC74" w14:textId="253D7F0F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4667C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Fazenda e Planejamento.</w:t>
      </w:r>
    </w:p>
    <w:p w14:paraId="3512F283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2EE534C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BFE5DED" w14:textId="36C39262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remuneração para o exercício deste cargo se fará integral </w:t>
      </w:r>
      <w:r w:rsidR="004474AA">
        <w:rPr>
          <w:rFonts w:ascii="Times New Roman" w:hAnsi="Times New Roman" w:cs="Times New Roman"/>
          <w:sz w:val="24"/>
          <w:szCs w:val="24"/>
          <w:lang w:val="pt-BR" w:eastAsia="en-US"/>
        </w:rPr>
        <w:t>e acumulará com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Cargo Público de Carreira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Técnico em Contabilidade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E2C15A6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667C3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C17E3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67C3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667C3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0F18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22BB7"/>
    <w:rsid w:val="004474AA"/>
    <w:rsid w:val="004667C3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2025-03-25T18:11:00Z</cp:lastPrinted>
  <dcterms:created xsi:type="dcterms:W3CDTF">2025-03-24T19:13:00Z</dcterms:created>
  <dcterms:modified xsi:type="dcterms:W3CDTF">2025-03-25T18:11:00Z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