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6E8C64E2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B55C3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8714B6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66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419A4FA" w14:textId="77777777" w:rsidR="00764326" w:rsidRPr="00CA3044" w:rsidRDefault="00764326" w:rsidP="00764326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6DB0196" w14:textId="77777777" w:rsidR="00764326" w:rsidRDefault="00764326" w:rsidP="00764326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0029416" w14:textId="77777777" w:rsidR="00764326" w:rsidRPr="00CA3044" w:rsidRDefault="00764326" w:rsidP="00764326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6AD88738" w14:textId="56D43296" w:rsidR="00764326" w:rsidRPr="00CA3044" w:rsidRDefault="00764326" w:rsidP="00764326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 w:rsidR="008714B6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Revogar a Portaria GP nº 200/2025 e</w:t>
      </w:r>
      <w:proofErr w:type="gramStart"/>
      <w:r w:rsidR="008714B6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gramEnd"/>
      <w:r w:rsidR="008714B6" w:rsidRPr="008714B6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 w:rsidRPr="008714B6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Administração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0FC8643C" w14:textId="77777777" w:rsidR="00764326" w:rsidRDefault="00764326" w:rsidP="00764326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15BA1310" w14:textId="77777777" w:rsidR="00764326" w:rsidRPr="00CA3044" w:rsidRDefault="00764326" w:rsidP="00764326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E7A084F" w14:textId="1454F1AD" w:rsidR="00764326" w:rsidRPr="00CA3044" w:rsidRDefault="00764326" w:rsidP="00764326">
      <w:pPr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8714B6" w:rsidRPr="008714B6">
        <w:rPr>
          <w:rFonts w:ascii="Times New Roman" w:eastAsia="Times New Roman" w:hAnsi="Times New Roman"/>
          <w:b/>
          <w:color w:val="000000"/>
          <w:sz w:val="24"/>
          <w:szCs w:val="24"/>
        </w:rPr>
        <w:t>LILIANE VIOTI DE OLIVEIRA</w:t>
      </w:r>
    </w:p>
    <w:p w14:paraId="4A9D7AB7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679AB47" w14:textId="77777777" w:rsidR="00764326" w:rsidRDefault="00764326" w:rsidP="00764326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54AC92BE" w14:textId="77777777" w:rsidR="00764326" w:rsidRPr="00CE127A" w:rsidRDefault="00764326" w:rsidP="00764326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</w:p>
    <w:p w14:paraId="7B865597" w14:textId="2947026B" w:rsidR="00764326" w:rsidRPr="00EC4E03" w:rsidRDefault="00764326" w:rsidP="00764326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MATHEUS FARINAZZO CORDEIRO</w:t>
      </w:r>
    </w:p>
    <w:p w14:paraId="6B8E8880" w14:textId="77777777" w:rsidR="00764326" w:rsidRPr="00EC4E03" w:rsidRDefault="00764326" w:rsidP="00764326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6178013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234/2023:</w:t>
      </w:r>
    </w:p>
    <w:p w14:paraId="5E993031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5DAB918" w14:textId="6B5DEDD2" w:rsidR="00764326" w:rsidRPr="00CA3044" w:rsidRDefault="00764326" w:rsidP="00764326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entrará em vigor na data de sua publicação, ficando revogadas to</w:t>
      </w:r>
      <w:r w:rsidR="008714B6">
        <w:rPr>
          <w:rFonts w:ascii="Times New Roman" w:eastAsia="Times New Roman" w:hAnsi="Times New Roman"/>
          <w:color w:val="000000"/>
          <w:sz w:val="24"/>
          <w:szCs w:val="24"/>
        </w:rPr>
        <w:t>das as disposições em contrário, retroagindo seus efeitos a partir de 1º de fevereiro de 2025.</w:t>
      </w:r>
    </w:p>
    <w:p w14:paraId="26B78B62" w14:textId="77777777" w:rsidR="005A4958" w:rsidRPr="00CA3044" w:rsidRDefault="005A4958" w:rsidP="005A4958">
      <w:pPr>
        <w:rPr>
          <w:rFonts w:ascii="Times New Roman" w:eastAsia="Times New Roman" w:hAnsi="Times New Roman"/>
          <w:sz w:val="24"/>
          <w:szCs w:val="24"/>
        </w:rPr>
      </w:pP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545B5550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</w:t>
      </w:r>
      <w:r w:rsidR="008714B6">
        <w:rPr>
          <w:rFonts w:ascii="Times New Roman" w:hAnsi="Times New Roman"/>
          <w:bCs/>
          <w:i/>
          <w:iCs/>
          <w:sz w:val="28"/>
          <w:szCs w:val="28"/>
        </w:rPr>
        <w:t xml:space="preserve">3 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de </w:t>
      </w:r>
      <w:r w:rsidR="008714B6">
        <w:rPr>
          <w:rFonts w:ascii="Times New Roman" w:hAnsi="Times New Roman"/>
          <w:bCs/>
          <w:i/>
          <w:iCs/>
          <w:sz w:val="28"/>
          <w:szCs w:val="28"/>
        </w:rPr>
        <w:t>fevereiro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</w:t>
    </w:r>
    <w:r>
      <w:rPr>
        <w:rFonts w:ascii="Times New Roman" w:eastAsia="Times New Roman"/>
        <w:sz w:val="20"/>
      </w:rPr>
      <w:t>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A36BD"/>
    <w:rsid w:val="00851A9F"/>
    <w:rsid w:val="008714B6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B55C3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2025-02-04T12:20:00Z</cp:lastPrinted>
  <dcterms:created xsi:type="dcterms:W3CDTF">2025-02-04T12:20:00Z</dcterms:created>
  <dcterms:modified xsi:type="dcterms:W3CDTF">2025-02-04T12:20:00Z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